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李建明</w:t>
      </w:r>
      <w:r>
        <w:rPr>
          <w:rFonts w:hint="eastAsia"/>
          <w:sz w:val="15"/>
          <w:szCs w:val="15"/>
          <w:highlight w:val="none"/>
        </w:rPr>
        <w:t>，</w:t>
      </w:r>
      <w:r>
        <w:rPr>
          <w:rFonts w:hint="eastAsia"/>
          <w:sz w:val="15"/>
          <w:szCs w:val="15"/>
          <w:highlight w:val="none"/>
          <w:lang w:val="en-US" w:eastAsia="zh-CN"/>
        </w:rPr>
        <w:t>130131198903135412</w:t>
      </w:r>
      <w:r>
        <w:rPr>
          <w:rFonts w:hint="eastAsia"/>
          <w:sz w:val="15"/>
          <w:szCs w:val="15"/>
        </w:rPr>
        <w:t xml:space="preserve">  </w:t>
      </w:r>
      <w:r>
        <w:rPr>
          <w:rFonts w:hint="eastAsia"/>
          <w:sz w:val="15"/>
          <w:szCs w:val="15"/>
          <w:lang w:val="en-US" w:eastAsia="zh-CN"/>
        </w:rPr>
        <w:t>冀ATE164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