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赵志慧</w:t>
      </w:r>
      <w:r>
        <w:rPr>
          <w:rFonts w:hint="eastAsia"/>
          <w:sz w:val="15"/>
          <w:szCs w:val="15"/>
          <w:highlight w:val="none"/>
        </w:rPr>
        <w:t>，</w:t>
      </w:r>
      <w:r>
        <w:rPr>
          <w:rFonts w:hint="eastAsia"/>
          <w:sz w:val="15"/>
          <w:szCs w:val="15"/>
          <w:highlight w:val="none"/>
          <w:lang w:val="en-US" w:eastAsia="zh-CN"/>
        </w:rPr>
        <w:t>130131198903085451</w:t>
      </w:r>
      <w:r>
        <w:rPr>
          <w:rFonts w:hint="eastAsia"/>
          <w:sz w:val="15"/>
          <w:szCs w:val="15"/>
        </w:rPr>
        <w:t xml:space="preserve">  </w:t>
      </w:r>
      <w:r>
        <w:rPr>
          <w:rFonts w:hint="eastAsia"/>
          <w:sz w:val="15"/>
          <w:szCs w:val="15"/>
          <w:lang w:val="en-US" w:eastAsia="zh-CN"/>
        </w:rPr>
        <w:t>冀A44097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