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聂会霞</w:t>
      </w:r>
      <w:r>
        <w:rPr>
          <w:rFonts w:hint="eastAsia"/>
          <w:sz w:val="15"/>
          <w:szCs w:val="15"/>
          <w:highlight w:val="none"/>
        </w:rPr>
        <w:t>，</w:t>
      </w:r>
      <w:r>
        <w:rPr>
          <w:rFonts w:hint="eastAsia"/>
          <w:sz w:val="15"/>
          <w:szCs w:val="15"/>
          <w:highlight w:val="none"/>
          <w:lang w:val="en-US" w:eastAsia="zh-CN"/>
        </w:rPr>
        <w:t>13013119890224422X</w:t>
      </w:r>
      <w:r>
        <w:rPr>
          <w:rFonts w:hint="eastAsia"/>
          <w:sz w:val="15"/>
          <w:szCs w:val="15"/>
        </w:rPr>
        <w:t xml:space="preserve">  </w:t>
      </w:r>
      <w:r>
        <w:rPr>
          <w:rFonts w:hint="eastAsia"/>
          <w:sz w:val="15"/>
          <w:szCs w:val="15"/>
          <w:lang w:val="en-US" w:eastAsia="zh-CN"/>
        </w:rPr>
        <w:t>冀AJ2869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