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史娇娇</w:t>
      </w:r>
      <w:r>
        <w:rPr>
          <w:rFonts w:hint="eastAsia"/>
          <w:sz w:val="15"/>
          <w:szCs w:val="15"/>
          <w:highlight w:val="none"/>
        </w:rPr>
        <w:t>，</w:t>
      </w:r>
      <w:r>
        <w:rPr>
          <w:rFonts w:hint="eastAsia"/>
          <w:sz w:val="15"/>
          <w:szCs w:val="15"/>
          <w:highlight w:val="none"/>
          <w:lang w:val="en-US" w:eastAsia="zh-CN"/>
        </w:rPr>
        <w:t>130131198902104825</w:t>
      </w:r>
      <w:r>
        <w:rPr>
          <w:rFonts w:hint="eastAsia"/>
          <w:sz w:val="15"/>
          <w:szCs w:val="15"/>
        </w:rPr>
        <w:t xml:space="preserve">  </w:t>
      </w:r>
      <w:r>
        <w:rPr>
          <w:rFonts w:hint="eastAsia"/>
          <w:sz w:val="15"/>
          <w:szCs w:val="15"/>
          <w:lang w:val="en-US" w:eastAsia="zh-CN"/>
        </w:rPr>
        <w:t>冀AV4973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