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郄跃震</w:t>
      </w:r>
      <w:r>
        <w:rPr>
          <w:rFonts w:hint="eastAsia"/>
          <w:sz w:val="15"/>
          <w:szCs w:val="15"/>
          <w:highlight w:val="none"/>
        </w:rPr>
        <w:t>，</w:t>
      </w:r>
      <w:r>
        <w:rPr>
          <w:rFonts w:hint="eastAsia"/>
          <w:sz w:val="15"/>
          <w:szCs w:val="15"/>
          <w:highlight w:val="none"/>
          <w:lang w:val="en-US" w:eastAsia="zh-CN"/>
        </w:rPr>
        <w:t>130131198902070055</w:t>
      </w:r>
      <w:r>
        <w:rPr>
          <w:rFonts w:hint="eastAsia"/>
          <w:sz w:val="15"/>
          <w:szCs w:val="15"/>
        </w:rPr>
        <w:t xml:space="preserve">  </w:t>
      </w:r>
      <w:r>
        <w:rPr>
          <w:rFonts w:hint="eastAsia"/>
          <w:sz w:val="15"/>
          <w:szCs w:val="15"/>
          <w:lang w:val="en-US" w:eastAsia="zh-CN"/>
        </w:rPr>
        <w:t>冀A08145D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