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张兵</w:t>
      </w:r>
      <w:r>
        <w:rPr>
          <w:rFonts w:hint="eastAsia"/>
          <w:sz w:val="15"/>
          <w:szCs w:val="15"/>
          <w:highlight w:val="none"/>
        </w:rPr>
        <w:t>，</w:t>
      </w:r>
      <w:r>
        <w:rPr>
          <w:rFonts w:hint="eastAsia"/>
          <w:sz w:val="15"/>
          <w:szCs w:val="15"/>
          <w:highlight w:val="none"/>
          <w:lang w:val="en-US" w:eastAsia="zh-CN"/>
        </w:rPr>
        <w:t>130131198901253618</w:t>
      </w:r>
      <w:r>
        <w:rPr>
          <w:rFonts w:hint="eastAsia"/>
          <w:sz w:val="15"/>
          <w:szCs w:val="15"/>
        </w:rPr>
        <w:t xml:space="preserve">  </w:t>
      </w:r>
      <w:r>
        <w:rPr>
          <w:rFonts w:hint="eastAsia"/>
          <w:sz w:val="15"/>
          <w:szCs w:val="15"/>
          <w:lang w:val="en-US" w:eastAsia="zh-CN"/>
        </w:rPr>
        <w:t>冀A704V5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