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左利勇</w:t>
      </w:r>
      <w:r>
        <w:rPr>
          <w:rFonts w:hint="eastAsia"/>
          <w:sz w:val="15"/>
          <w:szCs w:val="15"/>
          <w:highlight w:val="none"/>
        </w:rPr>
        <w:t>，</w:t>
      </w:r>
      <w:r>
        <w:rPr>
          <w:rFonts w:hint="eastAsia"/>
          <w:sz w:val="15"/>
          <w:szCs w:val="15"/>
          <w:highlight w:val="none"/>
          <w:lang w:val="en-US" w:eastAsia="zh-CN"/>
        </w:rPr>
        <w:t>13013119890115015X</w:t>
      </w:r>
      <w:r>
        <w:rPr>
          <w:rFonts w:hint="eastAsia"/>
          <w:sz w:val="15"/>
          <w:szCs w:val="15"/>
        </w:rPr>
        <w:t xml:space="preserve">  </w:t>
      </w:r>
      <w:r>
        <w:rPr>
          <w:rFonts w:hint="eastAsia"/>
          <w:sz w:val="15"/>
          <w:szCs w:val="15"/>
          <w:lang w:val="en-US" w:eastAsia="zh-CN"/>
        </w:rPr>
        <w:t>冀A49327D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