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王德龙</w:t>
      </w:r>
      <w:r>
        <w:rPr>
          <w:rFonts w:hint="eastAsia"/>
          <w:sz w:val="15"/>
          <w:szCs w:val="15"/>
          <w:highlight w:val="none"/>
        </w:rPr>
        <w:t>，</w:t>
      </w:r>
      <w:r>
        <w:rPr>
          <w:rFonts w:hint="eastAsia"/>
          <w:sz w:val="15"/>
          <w:szCs w:val="15"/>
          <w:highlight w:val="none"/>
          <w:lang w:val="en-US" w:eastAsia="zh-CN"/>
        </w:rPr>
        <w:t>130131198810190615</w:t>
      </w:r>
      <w:r>
        <w:rPr>
          <w:rFonts w:hint="eastAsia"/>
          <w:sz w:val="15"/>
          <w:szCs w:val="15"/>
        </w:rPr>
        <w:t xml:space="preserve">  </w:t>
      </w:r>
      <w:r>
        <w:rPr>
          <w:rFonts w:hint="eastAsia"/>
          <w:sz w:val="15"/>
          <w:szCs w:val="15"/>
          <w:lang w:val="en-US" w:eastAsia="zh-CN"/>
        </w:rPr>
        <w:t>冀T05831D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