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智慧锋</w:t>
      </w:r>
      <w:r>
        <w:rPr>
          <w:rFonts w:hint="eastAsia"/>
          <w:sz w:val="15"/>
          <w:szCs w:val="15"/>
          <w:highlight w:val="none"/>
        </w:rPr>
        <w:t>，</w:t>
      </w:r>
      <w:r>
        <w:rPr>
          <w:rFonts w:hint="eastAsia"/>
          <w:sz w:val="15"/>
          <w:szCs w:val="15"/>
          <w:highlight w:val="none"/>
          <w:lang w:val="en-US" w:eastAsia="zh-CN"/>
        </w:rPr>
        <w:t>130131198810133936</w:t>
      </w:r>
      <w:r>
        <w:rPr>
          <w:rFonts w:hint="eastAsia"/>
          <w:sz w:val="15"/>
          <w:szCs w:val="15"/>
        </w:rPr>
        <w:t xml:space="preserve">  </w:t>
      </w:r>
      <w:r>
        <w:rPr>
          <w:rFonts w:hint="eastAsia"/>
          <w:sz w:val="15"/>
          <w:szCs w:val="15"/>
          <w:lang w:val="en-US" w:eastAsia="zh-CN"/>
        </w:rPr>
        <w:t>冀AKY490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