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李超</w:t>
      </w:r>
      <w:r>
        <w:rPr>
          <w:rFonts w:hint="eastAsia"/>
          <w:sz w:val="15"/>
          <w:szCs w:val="15"/>
          <w:highlight w:val="none"/>
        </w:rPr>
        <w:t>，</w:t>
      </w:r>
      <w:r>
        <w:rPr>
          <w:rFonts w:hint="eastAsia"/>
          <w:sz w:val="15"/>
          <w:szCs w:val="15"/>
          <w:highlight w:val="none"/>
          <w:lang w:val="en-US" w:eastAsia="zh-CN"/>
        </w:rPr>
        <w:t>130131198809293617</w:t>
      </w:r>
      <w:r>
        <w:rPr>
          <w:rFonts w:hint="eastAsia"/>
          <w:sz w:val="15"/>
          <w:szCs w:val="15"/>
        </w:rPr>
        <w:t xml:space="preserve">  </w:t>
      </w:r>
      <w:r>
        <w:rPr>
          <w:rFonts w:hint="eastAsia"/>
          <w:sz w:val="15"/>
          <w:szCs w:val="15"/>
          <w:lang w:val="en-US" w:eastAsia="zh-CN"/>
        </w:rPr>
        <w:t>冀A494YN</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