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赵建龙</w:t>
      </w:r>
      <w:r>
        <w:rPr>
          <w:rFonts w:hint="eastAsia"/>
          <w:sz w:val="15"/>
          <w:szCs w:val="15"/>
          <w:highlight w:val="none"/>
        </w:rPr>
        <w:t>，</w:t>
      </w:r>
      <w:r>
        <w:rPr>
          <w:rFonts w:hint="eastAsia"/>
          <w:sz w:val="15"/>
          <w:szCs w:val="15"/>
          <w:highlight w:val="none"/>
          <w:lang w:val="en-US" w:eastAsia="zh-CN"/>
        </w:rPr>
        <w:t>130131198809015430</w:t>
      </w:r>
      <w:r>
        <w:rPr>
          <w:rFonts w:hint="eastAsia"/>
          <w:sz w:val="15"/>
          <w:szCs w:val="15"/>
        </w:rPr>
        <w:t xml:space="preserve">  </w:t>
      </w:r>
      <w:r>
        <w:rPr>
          <w:rFonts w:hint="eastAsia"/>
          <w:sz w:val="15"/>
          <w:szCs w:val="15"/>
          <w:lang w:val="en-US" w:eastAsia="zh-CN"/>
        </w:rPr>
        <w:t>沪A06180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