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齐树君</w:t>
      </w:r>
      <w:r>
        <w:rPr>
          <w:rFonts w:hint="eastAsia"/>
          <w:sz w:val="15"/>
          <w:szCs w:val="15"/>
          <w:highlight w:val="none"/>
        </w:rPr>
        <w:t>，</w:t>
      </w:r>
      <w:r>
        <w:rPr>
          <w:rFonts w:hint="eastAsia"/>
          <w:sz w:val="15"/>
          <w:szCs w:val="15"/>
          <w:highlight w:val="none"/>
          <w:lang w:val="en-US" w:eastAsia="zh-CN"/>
        </w:rPr>
        <w:t>130131198809010058</w:t>
      </w:r>
      <w:r>
        <w:rPr>
          <w:rFonts w:hint="eastAsia"/>
          <w:sz w:val="15"/>
          <w:szCs w:val="15"/>
        </w:rPr>
        <w:t xml:space="preserve">  </w:t>
      </w:r>
      <w:r>
        <w:rPr>
          <w:rFonts w:hint="eastAsia"/>
          <w:sz w:val="15"/>
          <w:szCs w:val="15"/>
          <w:lang w:val="en-US" w:eastAsia="zh-CN"/>
        </w:rPr>
        <w:t>冀A3021U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