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史利军</w:t>
      </w:r>
      <w:r>
        <w:rPr>
          <w:rFonts w:hint="eastAsia"/>
          <w:sz w:val="15"/>
          <w:szCs w:val="15"/>
          <w:highlight w:val="none"/>
        </w:rPr>
        <w:t>，</w:t>
      </w:r>
      <w:r>
        <w:rPr>
          <w:rFonts w:hint="eastAsia"/>
          <w:sz w:val="15"/>
          <w:szCs w:val="15"/>
          <w:highlight w:val="none"/>
          <w:lang w:val="en-US" w:eastAsia="zh-CN"/>
        </w:rPr>
        <w:t>130131198808151537</w:t>
      </w:r>
      <w:r>
        <w:rPr>
          <w:rFonts w:hint="eastAsia"/>
          <w:sz w:val="15"/>
          <w:szCs w:val="15"/>
        </w:rPr>
        <w:t xml:space="preserve">  </w:t>
      </w:r>
      <w:r>
        <w:rPr>
          <w:rFonts w:hint="eastAsia"/>
          <w:sz w:val="15"/>
          <w:szCs w:val="15"/>
          <w:lang w:val="en-US" w:eastAsia="zh-CN"/>
        </w:rPr>
        <w:t>冀AQ6838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