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闫吉龙</w:t>
      </w:r>
      <w:r>
        <w:rPr>
          <w:rFonts w:hint="eastAsia"/>
          <w:sz w:val="15"/>
          <w:szCs w:val="15"/>
          <w:highlight w:val="none"/>
        </w:rPr>
        <w:t>，</w:t>
      </w:r>
      <w:r>
        <w:rPr>
          <w:rFonts w:hint="eastAsia"/>
          <w:sz w:val="15"/>
          <w:szCs w:val="15"/>
          <w:highlight w:val="none"/>
          <w:lang w:val="en-US" w:eastAsia="zh-CN"/>
        </w:rPr>
        <w:t>130131198808061814</w:t>
      </w:r>
      <w:r>
        <w:rPr>
          <w:rFonts w:hint="eastAsia"/>
          <w:sz w:val="15"/>
          <w:szCs w:val="15"/>
        </w:rPr>
        <w:t xml:space="preserve">  </w:t>
      </w:r>
      <w:r>
        <w:rPr>
          <w:rFonts w:hint="eastAsia"/>
          <w:sz w:val="15"/>
          <w:szCs w:val="15"/>
          <w:lang w:val="en-US" w:eastAsia="zh-CN"/>
        </w:rPr>
        <w:t>冀A4652W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