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董伟</w:t>
      </w:r>
      <w:r>
        <w:rPr>
          <w:rFonts w:hint="eastAsia"/>
          <w:sz w:val="15"/>
          <w:szCs w:val="15"/>
          <w:highlight w:val="none"/>
        </w:rPr>
        <w:t>，</w:t>
      </w:r>
      <w:r>
        <w:rPr>
          <w:rFonts w:hint="eastAsia"/>
          <w:sz w:val="15"/>
          <w:szCs w:val="15"/>
          <w:highlight w:val="none"/>
          <w:lang w:val="en-US" w:eastAsia="zh-CN"/>
        </w:rPr>
        <w:t>130131198807203614</w:t>
      </w:r>
      <w:r>
        <w:rPr>
          <w:rFonts w:hint="eastAsia"/>
          <w:sz w:val="15"/>
          <w:szCs w:val="15"/>
        </w:rPr>
        <w:t xml:space="preserve">  </w:t>
      </w:r>
      <w:r>
        <w:rPr>
          <w:rFonts w:hint="eastAsia"/>
          <w:sz w:val="15"/>
          <w:szCs w:val="15"/>
          <w:lang w:val="en-US" w:eastAsia="zh-CN"/>
        </w:rPr>
        <w:t>冀A35058D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