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陈志强</w:t>
      </w:r>
      <w:r>
        <w:rPr>
          <w:rFonts w:hint="eastAsia"/>
          <w:sz w:val="15"/>
          <w:szCs w:val="15"/>
          <w:highlight w:val="none"/>
        </w:rPr>
        <w:t>，</w:t>
      </w:r>
      <w:r>
        <w:rPr>
          <w:rFonts w:hint="eastAsia"/>
          <w:sz w:val="15"/>
          <w:szCs w:val="15"/>
          <w:highlight w:val="none"/>
          <w:lang w:val="en-US" w:eastAsia="zh-CN"/>
        </w:rPr>
        <w:t>130131198807183617</w:t>
      </w:r>
      <w:r>
        <w:rPr>
          <w:rFonts w:hint="eastAsia"/>
          <w:sz w:val="15"/>
          <w:szCs w:val="15"/>
        </w:rPr>
        <w:t xml:space="preserve">  </w:t>
      </w:r>
      <w:r>
        <w:rPr>
          <w:rFonts w:hint="eastAsia"/>
          <w:sz w:val="15"/>
          <w:szCs w:val="15"/>
          <w:lang w:val="en-US" w:eastAsia="zh-CN"/>
        </w:rPr>
        <w:t>沪A06409D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