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齐晓龙</w:t>
      </w:r>
      <w:r>
        <w:rPr>
          <w:rFonts w:hint="eastAsia"/>
          <w:sz w:val="15"/>
          <w:szCs w:val="15"/>
          <w:highlight w:val="none"/>
        </w:rPr>
        <w:t>，</w:t>
      </w:r>
      <w:r>
        <w:rPr>
          <w:rFonts w:hint="eastAsia"/>
          <w:sz w:val="15"/>
          <w:szCs w:val="15"/>
          <w:highlight w:val="none"/>
          <w:lang w:val="en-US" w:eastAsia="zh-CN"/>
        </w:rPr>
        <w:t>130131198804164517</w:t>
      </w:r>
      <w:r>
        <w:rPr>
          <w:rFonts w:hint="eastAsia"/>
          <w:sz w:val="15"/>
          <w:szCs w:val="15"/>
        </w:rPr>
        <w:t xml:space="preserve">  </w:t>
      </w:r>
      <w:r>
        <w:rPr>
          <w:rFonts w:hint="eastAsia"/>
          <w:sz w:val="15"/>
          <w:szCs w:val="15"/>
          <w:lang w:val="en-US" w:eastAsia="zh-CN"/>
        </w:rPr>
        <w:t>冀A33X06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