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刘建刚</w:t>
      </w:r>
      <w:r>
        <w:rPr>
          <w:rFonts w:hint="eastAsia"/>
          <w:sz w:val="15"/>
          <w:szCs w:val="15"/>
          <w:highlight w:val="none"/>
        </w:rPr>
        <w:t>，</w:t>
      </w:r>
      <w:r>
        <w:rPr>
          <w:rFonts w:hint="eastAsia"/>
          <w:sz w:val="15"/>
          <w:szCs w:val="15"/>
          <w:highlight w:val="none"/>
          <w:lang w:val="en-US" w:eastAsia="zh-CN"/>
        </w:rPr>
        <w:t>130131198804164234</w:t>
      </w:r>
      <w:r>
        <w:rPr>
          <w:rFonts w:hint="eastAsia"/>
          <w:sz w:val="15"/>
          <w:szCs w:val="15"/>
        </w:rPr>
        <w:t xml:space="preserve">  </w:t>
      </w:r>
      <w:r>
        <w:rPr>
          <w:rFonts w:hint="eastAsia"/>
          <w:sz w:val="15"/>
          <w:szCs w:val="15"/>
          <w:lang w:val="en-US" w:eastAsia="zh-CN"/>
        </w:rPr>
        <w:t>冀AQ8683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