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米五杰</w:t>
      </w:r>
      <w:r>
        <w:rPr>
          <w:rFonts w:hint="eastAsia"/>
          <w:sz w:val="15"/>
          <w:szCs w:val="15"/>
          <w:highlight w:val="none"/>
        </w:rPr>
        <w:t>，</w:t>
      </w:r>
      <w:r>
        <w:rPr>
          <w:rFonts w:hint="eastAsia"/>
          <w:sz w:val="15"/>
          <w:szCs w:val="15"/>
          <w:highlight w:val="none"/>
          <w:lang w:val="en-US" w:eastAsia="zh-CN"/>
        </w:rPr>
        <w:t>130131198804150035</w:t>
      </w:r>
      <w:r>
        <w:rPr>
          <w:rFonts w:hint="eastAsia"/>
          <w:sz w:val="15"/>
          <w:szCs w:val="15"/>
        </w:rPr>
        <w:t xml:space="preserve">  </w:t>
      </w:r>
      <w:r>
        <w:rPr>
          <w:rFonts w:hint="eastAsia"/>
          <w:sz w:val="15"/>
          <w:szCs w:val="15"/>
          <w:lang w:val="en-US" w:eastAsia="zh-CN"/>
        </w:rPr>
        <w:t>冀A8N129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