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孙彦飞</w:t>
      </w:r>
      <w:r>
        <w:rPr>
          <w:rFonts w:hint="eastAsia"/>
          <w:sz w:val="15"/>
          <w:szCs w:val="15"/>
          <w:highlight w:val="none"/>
        </w:rPr>
        <w:t>，</w:t>
      </w:r>
      <w:r>
        <w:rPr>
          <w:rFonts w:hint="eastAsia"/>
          <w:sz w:val="15"/>
          <w:szCs w:val="15"/>
          <w:highlight w:val="none"/>
          <w:lang w:val="en-US" w:eastAsia="zh-CN"/>
        </w:rPr>
        <w:t>130131198803063618</w:t>
      </w:r>
      <w:r>
        <w:rPr>
          <w:rFonts w:hint="eastAsia"/>
          <w:sz w:val="15"/>
          <w:szCs w:val="15"/>
        </w:rPr>
        <w:t xml:space="preserve">  </w:t>
      </w:r>
      <w:r>
        <w:rPr>
          <w:rFonts w:hint="eastAsia"/>
          <w:sz w:val="15"/>
          <w:szCs w:val="15"/>
          <w:lang w:val="en-US" w:eastAsia="zh-CN"/>
        </w:rPr>
        <w:t>冀ALX005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