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刘飞飞</w:t>
      </w:r>
      <w:r>
        <w:rPr>
          <w:rFonts w:hint="eastAsia"/>
          <w:sz w:val="15"/>
          <w:szCs w:val="15"/>
          <w:highlight w:val="none"/>
        </w:rPr>
        <w:t>，</w:t>
      </w:r>
      <w:r>
        <w:rPr>
          <w:rFonts w:hint="eastAsia"/>
          <w:sz w:val="15"/>
          <w:szCs w:val="15"/>
          <w:highlight w:val="none"/>
          <w:lang w:val="en-US" w:eastAsia="zh-CN"/>
        </w:rPr>
        <w:t>130131198801043912</w:t>
      </w:r>
      <w:r>
        <w:rPr>
          <w:rFonts w:hint="eastAsia"/>
          <w:sz w:val="15"/>
          <w:szCs w:val="15"/>
        </w:rPr>
        <w:t xml:space="preserve">  </w:t>
      </w:r>
      <w:r>
        <w:rPr>
          <w:rFonts w:hint="eastAsia"/>
          <w:sz w:val="15"/>
          <w:szCs w:val="15"/>
          <w:lang w:val="en-US" w:eastAsia="zh-CN"/>
        </w:rPr>
        <w:t>冀A62898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