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赵成燕</w:t>
      </w:r>
      <w:r>
        <w:rPr>
          <w:rFonts w:hint="eastAsia"/>
          <w:sz w:val="15"/>
          <w:szCs w:val="15"/>
          <w:highlight w:val="none"/>
        </w:rPr>
        <w:t>，</w:t>
      </w:r>
      <w:r>
        <w:rPr>
          <w:rFonts w:hint="eastAsia"/>
          <w:sz w:val="15"/>
          <w:szCs w:val="15"/>
          <w:highlight w:val="none"/>
          <w:lang w:val="en-US" w:eastAsia="zh-CN"/>
        </w:rPr>
        <w:t>130131198709231531</w:t>
      </w:r>
      <w:r>
        <w:rPr>
          <w:rFonts w:hint="eastAsia"/>
          <w:sz w:val="15"/>
          <w:szCs w:val="15"/>
        </w:rPr>
        <w:t xml:space="preserve">  </w:t>
      </w:r>
      <w:r>
        <w:rPr>
          <w:rFonts w:hint="eastAsia"/>
          <w:sz w:val="15"/>
          <w:szCs w:val="15"/>
          <w:lang w:val="en-US" w:eastAsia="zh-CN"/>
        </w:rPr>
        <w:t>冀A24324</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