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张朋</w:t>
      </w:r>
      <w:r>
        <w:rPr>
          <w:rFonts w:hint="eastAsia"/>
          <w:sz w:val="15"/>
          <w:szCs w:val="15"/>
          <w:highlight w:val="none"/>
        </w:rPr>
        <w:t>，</w:t>
      </w:r>
      <w:r>
        <w:rPr>
          <w:rFonts w:hint="eastAsia"/>
          <w:sz w:val="15"/>
          <w:szCs w:val="15"/>
          <w:highlight w:val="none"/>
          <w:lang w:val="en-US" w:eastAsia="zh-CN"/>
        </w:rPr>
        <w:t>130131198709060672</w:t>
      </w:r>
      <w:r>
        <w:rPr>
          <w:rFonts w:hint="eastAsia"/>
          <w:sz w:val="15"/>
          <w:szCs w:val="15"/>
        </w:rPr>
        <w:t xml:space="preserve">  </w:t>
      </w:r>
      <w:r>
        <w:rPr>
          <w:rFonts w:hint="eastAsia"/>
          <w:sz w:val="15"/>
          <w:szCs w:val="15"/>
          <w:lang w:val="en-US" w:eastAsia="zh-CN"/>
        </w:rPr>
        <w:t>冀A95433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