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张达</w:t>
      </w:r>
      <w:r>
        <w:rPr>
          <w:rFonts w:hint="eastAsia"/>
          <w:sz w:val="15"/>
          <w:szCs w:val="15"/>
          <w:highlight w:val="none"/>
        </w:rPr>
        <w:t>，</w:t>
      </w:r>
      <w:r>
        <w:rPr>
          <w:rFonts w:hint="eastAsia"/>
          <w:sz w:val="15"/>
          <w:szCs w:val="15"/>
          <w:highlight w:val="none"/>
          <w:lang w:val="en-US" w:eastAsia="zh-CN"/>
        </w:rPr>
        <w:t>130131198707230615</w:t>
      </w:r>
      <w:r>
        <w:rPr>
          <w:rFonts w:hint="eastAsia"/>
          <w:sz w:val="15"/>
          <w:szCs w:val="15"/>
        </w:rPr>
        <w:t xml:space="preserve">  </w:t>
      </w:r>
      <w:r>
        <w:rPr>
          <w:rFonts w:hint="eastAsia"/>
          <w:sz w:val="15"/>
          <w:szCs w:val="15"/>
          <w:lang w:val="en-US" w:eastAsia="zh-CN"/>
        </w:rPr>
        <w:t>沪A05255A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