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关杰</w:t>
      </w:r>
      <w:r>
        <w:rPr>
          <w:rFonts w:hint="eastAsia"/>
          <w:sz w:val="15"/>
          <w:szCs w:val="15"/>
          <w:highlight w:val="none"/>
        </w:rPr>
        <w:t>，</w:t>
      </w:r>
      <w:r>
        <w:rPr>
          <w:rFonts w:hint="eastAsia"/>
          <w:sz w:val="15"/>
          <w:szCs w:val="15"/>
          <w:highlight w:val="none"/>
          <w:lang w:val="en-US" w:eastAsia="zh-CN"/>
        </w:rPr>
        <w:t>130131198707140054</w:t>
      </w:r>
      <w:r>
        <w:rPr>
          <w:rFonts w:hint="eastAsia"/>
          <w:sz w:val="15"/>
          <w:szCs w:val="15"/>
        </w:rPr>
        <w:t xml:space="preserve">  </w:t>
      </w:r>
      <w:r>
        <w:rPr>
          <w:rFonts w:hint="eastAsia"/>
          <w:sz w:val="15"/>
          <w:szCs w:val="15"/>
          <w:lang w:val="en-US" w:eastAsia="zh-CN"/>
        </w:rPr>
        <w:t>冀A8304C</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