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王然然</w:t>
      </w:r>
      <w:r>
        <w:rPr>
          <w:rFonts w:hint="eastAsia"/>
          <w:sz w:val="15"/>
          <w:szCs w:val="15"/>
          <w:highlight w:val="none"/>
        </w:rPr>
        <w:t>，</w:t>
      </w:r>
      <w:r>
        <w:rPr>
          <w:rFonts w:hint="eastAsia"/>
          <w:sz w:val="15"/>
          <w:szCs w:val="15"/>
          <w:highlight w:val="none"/>
          <w:lang w:val="en-US" w:eastAsia="zh-CN"/>
        </w:rPr>
        <w:t>130131198707134519</w:t>
      </w:r>
      <w:r>
        <w:rPr>
          <w:rFonts w:hint="eastAsia"/>
          <w:sz w:val="15"/>
          <w:szCs w:val="15"/>
        </w:rPr>
        <w:t xml:space="preserve">  </w:t>
      </w:r>
      <w:r>
        <w:rPr>
          <w:rFonts w:hint="eastAsia"/>
          <w:sz w:val="15"/>
          <w:szCs w:val="15"/>
          <w:lang w:val="en-US" w:eastAsia="zh-CN"/>
        </w:rPr>
        <w:t>冀A883G8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