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曹均龙</w:t>
      </w:r>
      <w:r>
        <w:rPr>
          <w:rFonts w:hint="eastAsia"/>
          <w:sz w:val="15"/>
          <w:szCs w:val="15"/>
          <w:highlight w:val="none"/>
        </w:rPr>
        <w:t>，</w:t>
      </w:r>
      <w:r>
        <w:rPr>
          <w:rFonts w:hint="eastAsia"/>
          <w:sz w:val="15"/>
          <w:szCs w:val="15"/>
          <w:highlight w:val="none"/>
          <w:lang w:val="en-US" w:eastAsia="zh-CN"/>
        </w:rPr>
        <w:t>130131198707123633</w:t>
      </w:r>
      <w:r>
        <w:rPr>
          <w:rFonts w:hint="eastAsia"/>
          <w:sz w:val="15"/>
          <w:szCs w:val="15"/>
        </w:rPr>
        <w:t xml:space="preserve">  </w:t>
      </w:r>
      <w:r>
        <w:rPr>
          <w:rFonts w:hint="eastAsia"/>
          <w:sz w:val="15"/>
          <w:szCs w:val="15"/>
          <w:lang w:val="en-US" w:eastAsia="zh-CN"/>
        </w:rPr>
        <w:t>冀A785H7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