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王鸿鹏</w:t>
      </w:r>
      <w:r>
        <w:rPr>
          <w:rFonts w:hint="eastAsia"/>
          <w:sz w:val="15"/>
          <w:szCs w:val="15"/>
          <w:highlight w:val="none"/>
        </w:rPr>
        <w:t>，</w:t>
      </w:r>
      <w:r>
        <w:rPr>
          <w:rFonts w:hint="eastAsia"/>
          <w:sz w:val="15"/>
          <w:szCs w:val="15"/>
          <w:highlight w:val="none"/>
          <w:lang w:val="en-US" w:eastAsia="zh-CN"/>
        </w:rPr>
        <w:t>13013119870526511X</w:t>
      </w:r>
      <w:r>
        <w:rPr>
          <w:rFonts w:hint="eastAsia"/>
          <w:sz w:val="15"/>
          <w:szCs w:val="15"/>
        </w:rPr>
        <w:t xml:space="preserve">  </w:t>
      </w:r>
      <w:r>
        <w:rPr>
          <w:rFonts w:hint="eastAsia"/>
          <w:sz w:val="15"/>
          <w:szCs w:val="15"/>
          <w:lang w:val="en-US" w:eastAsia="zh-CN"/>
        </w:rPr>
        <w:t>冀A753XC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