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杨会琴</w:t>
      </w:r>
      <w:r>
        <w:rPr>
          <w:rFonts w:hint="eastAsia"/>
          <w:sz w:val="15"/>
          <w:szCs w:val="15"/>
          <w:highlight w:val="none"/>
        </w:rPr>
        <w:t>，</w:t>
      </w:r>
      <w:r>
        <w:rPr>
          <w:rFonts w:hint="eastAsia"/>
          <w:sz w:val="15"/>
          <w:szCs w:val="15"/>
          <w:highlight w:val="none"/>
          <w:lang w:val="en-US" w:eastAsia="zh-CN"/>
        </w:rPr>
        <w:t>130131198705040949</w:t>
      </w:r>
      <w:r>
        <w:rPr>
          <w:rFonts w:hint="eastAsia"/>
          <w:sz w:val="15"/>
          <w:szCs w:val="15"/>
        </w:rPr>
        <w:t xml:space="preserve">  </w:t>
      </w:r>
      <w:r>
        <w:rPr>
          <w:rFonts w:hint="eastAsia"/>
          <w:sz w:val="15"/>
          <w:szCs w:val="15"/>
          <w:lang w:val="en-US" w:eastAsia="zh-CN"/>
        </w:rPr>
        <w:t>冀A75122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