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张丽香</w:t>
      </w:r>
      <w:r>
        <w:rPr>
          <w:rFonts w:hint="eastAsia"/>
          <w:sz w:val="15"/>
          <w:szCs w:val="15"/>
          <w:highlight w:val="none"/>
        </w:rPr>
        <w:t>，</w:t>
      </w:r>
      <w:r>
        <w:rPr>
          <w:rFonts w:hint="eastAsia"/>
          <w:sz w:val="15"/>
          <w:szCs w:val="15"/>
          <w:highlight w:val="none"/>
          <w:lang w:val="en-US" w:eastAsia="zh-CN"/>
        </w:rPr>
        <w:t>130131198705034223</w:t>
      </w:r>
      <w:r>
        <w:rPr>
          <w:rFonts w:hint="eastAsia"/>
          <w:sz w:val="15"/>
          <w:szCs w:val="15"/>
        </w:rPr>
        <w:t xml:space="preserve">  </w:t>
      </w:r>
      <w:r>
        <w:rPr>
          <w:rFonts w:hint="eastAsia"/>
          <w:sz w:val="15"/>
          <w:szCs w:val="15"/>
          <w:lang w:val="en-US" w:eastAsia="zh-CN"/>
        </w:rPr>
        <w:t>冀B21497D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