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王剑</w:t>
      </w:r>
      <w:r>
        <w:rPr>
          <w:rFonts w:hint="eastAsia"/>
          <w:sz w:val="15"/>
          <w:szCs w:val="15"/>
          <w:highlight w:val="none"/>
        </w:rPr>
        <w:t>，</w:t>
      </w:r>
      <w:r>
        <w:rPr>
          <w:rFonts w:hint="eastAsia"/>
          <w:sz w:val="15"/>
          <w:szCs w:val="15"/>
          <w:highlight w:val="none"/>
          <w:lang w:val="en-US" w:eastAsia="zh-CN"/>
        </w:rPr>
        <w:t>130131198704131515</w:t>
      </w:r>
      <w:r>
        <w:rPr>
          <w:rFonts w:hint="eastAsia"/>
          <w:sz w:val="15"/>
          <w:szCs w:val="15"/>
        </w:rPr>
        <w:t xml:space="preserve">  </w:t>
      </w:r>
      <w:r>
        <w:rPr>
          <w:rFonts w:hint="eastAsia"/>
          <w:sz w:val="15"/>
          <w:szCs w:val="15"/>
          <w:lang w:val="en-US" w:eastAsia="zh-CN"/>
        </w:rPr>
        <w:t>冀AKJ203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