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李丽琴</w:t>
      </w:r>
      <w:r>
        <w:rPr>
          <w:rFonts w:hint="eastAsia"/>
          <w:sz w:val="15"/>
          <w:szCs w:val="15"/>
          <w:highlight w:val="none"/>
        </w:rPr>
        <w:t>，</w:t>
      </w:r>
      <w:r>
        <w:rPr>
          <w:rFonts w:hint="eastAsia"/>
          <w:sz w:val="15"/>
          <w:szCs w:val="15"/>
          <w:highlight w:val="none"/>
          <w:lang w:val="en-US" w:eastAsia="zh-CN"/>
        </w:rPr>
        <w:t>130131198703171224</w:t>
      </w:r>
      <w:r>
        <w:rPr>
          <w:rFonts w:hint="eastAsia"/>
          <w:sz w:val="15"/>
          <w:szCs w:val="15"/>
        </w:rPr>
        <w:t xml:space="preserve">  </w:t>
      </w:r>
      <w:r>
        <w:rPr>
          <w:rFonts w:hint="eastAsia"/>
          <w:sz w:val="15"/>
          <w:szCs w:val="15"/>
          <w:lang w:val="en-US" w:eastAsia="zh-CN"/>
        </w:rPr>
        <w:t>冀AB9350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