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盖晓军</w:t>
      </w:r>
      <w:r>
        <w:rPr>
          <w:rFonts w:hint="eastAsia"/>
          <w:sz w:val="15"/>
          <w:szCs w:val="15"/>
          <w:highlight w:val="none"/>
        </w:rPr>
        <w:t>，</w:t>
      </w:r>
      <w:r>
        <w:rPr>
          <w:rFonts w:hint="eastAsia"/>
          <w:sz w:val="15"/>
          <w:szCs w:val="15"/>
          <w:highlight w:val="none"/>
          <w:lang w:val="en-US" w:eastAsia="zh-CN"/>
        </w:rPr>
        <w:t>130131198703030114</w:t>
      </w:r>
      <w:r>
        <w:rPr>
          <w:rFonts w:hint="eastAsia"/>
          <w:sz w:val="15"/>
          <w:szCs w:val="15"/>
        </w:rPr>
        <w:t xml:space="preserve">  </w:t>
      </w:r>
      <w:r>
        <w:rPr>
          <w:rFonts w:hint="eastAsia"/>
          <w:sz w:val="15"/>
          <w:szCs w:val="15"/>
          <w:lang w:val="en-US" w:eastAsia="zh-CN"/>
        </w:rPr>
        <w:t>沪A83927D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