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康进波</w:t>
      </w:r>
      <w:r>
        <w:rPr>
          <w:rFonts w:hint="eastAsia"/>
          <w:sz w:val="15"/>
          <w:szCs w:val="15"/>
          <w:highlight w:val="none"/>
        </w:rPr>
        <w:t>，</w:t>
      </w:r>
      <w:r>
        <w:rPr>
          <w:rFonts w:hint="eastAsia"/>
          <w:sz w:val="15"/>
          <w:szCs w:val="15"/>
          <w:highlight w:val="none"/>
          <w:lang w:val="en-US" w:eastAsia="zh-CN"/>
        </w:rPr>
        <w:t>130131198701261517</w:t>
      </w:r>
      <w:r>
        <w:rPr>
          <w:rFonts w:hint="eastAsia"/>
          <w:sz w:val="15"/>
          <w:szCs w:val="15"/>
        </w:rPr>
        <w:t xml:space="preserve">  </w:t>
      </w:r>
      <w:r>
        <w:rPr>
          <w:rFonts w:hint="eastAsia"/>
          <w:sz w:val="15"/>
          <w:szCs w:val="15"/>
          <w:lang w:val="en-US" w:eastAsia="zh-CN"/>
        </w:rPr>
        <w:t>冀A764CJ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