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李哲</w:t>
      </w:r>
      <w:r>
        <w:rPr>
          <w:rFonts w:hint="eastAsia"/>
          <w:sz w:val="15"/>
          <w:szCs w:val="15"/>
          <w:highlight w:val="none"/>
        </w:rPr>
        <w:t>，</w:t>
      </w:r>
      <w:r>
        <w:rPr>
          <w:rFonts w:hint="eastAsia"/>
          <w:sz w:val="15"/>
          <w:szCs w:val="15"/>
          <w:highlight w:val="none"/>
          <w:lang w:val="en-US" w:eastAsia="zh-CN"/>
        </w:rPr>
        <w:t>130131198612250074</w:t>
      </w:r>
      <w:r>
        <w:rPr>
          <w:rFonts w:hint="eastAsia"/>
          <w:sz w:val="15"/>
          <w:szCs w:val="15"/>
        </w:rPr>
        <w:t xml:space="preserve">  </w:t>
      </w:r>
      <w:r>
        <w:rPr>
          <w:rFonts w:hint="eastAsia"/>
          <w:sz w:val="15"/>
          <w:szCs w:val="15"/>
          <w:lang w:val="en-US" w:eastAsia="zh-CN"/>
        </w:rPr>
        <w:t>冀A9004C</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