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封彦军</w:t>
      </w:r>
      <w:r>
        <w:rPr>
          <w:rFonts w:hint="eastAsia"/>
          <w:sz w:val="15"/>
          <w:szCs w:val="15"/>
          <w:highlight w:val="none"/>
        </w:rPr>
        <w:t>，</w:t>
      </w:r>
      <w:r>
        <w:rPr>
          <w:rFonts w:hint="eastAsia"/>
          <w:sz w:val="15"/>
          <w:szCs w:val="15"/>
          <w:highlight w:val="none"/>
          <w:lang w:val="en-US" w:eastAsia="zh-CN"/>
        </w:rPr>
        <w:t>130131198610101235</w:t>
      </w:r>
      <w:r>
        <w:rPr>
          <w:rFonts w:hint="eastAsia"/>
          <w:sz w:val="15"/>
          <w:szCs w:val="15"/>
        </w:rPr>
        <w:t xml:space="preserve">  </w:t>
      </w:r>
      <w:r>
        <w:rPr>
          <w:rFonts w:hint="eastAsia"/>
          <w:sz w:val="15"/>
          <w:szCs w:val="15"/>
          <w:lang w:val="en-US" w:eastAsia="zh-CN"/>
        </w:rPr>
        <w:t>冀AQW392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