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杨威龙</w:t>
      </w:r>
      <w:r>
        <w:rPr>
          <w:rFonts w:hint="eastAsia"/>
          <w:sz w:val="15"/>
          <w:szCs w:val="15"/>
          <w:highlight w:val="none"/>
        </w:rPr>
        <w:t>，</w:t>
      </w:r>
      <w:r>
        <w:rPr>
          <w:rFonts w:hint="eastAsia"/>
          <w:sz w:val="15"/>
          <w:szCs w:val="15"/>
          <w:highlight w:val="none"/>
          <w:lang w:val="en-US" w:eastAsia="zh-CN"/>
        </w:rPr>
        <w:t>13013119861002097X</w:t>
      </w:r>
      <w:r>
        <w:rPr>
          <w:rFonts w:hint="eastAsia"/>
          <w:sz w:val="15"/>
          <w:szCs w:val="15"/>
        </w:rPr>
        <w:t xml:space="preserve">  </w:t>
      </w:r>
      <w:r>
        <w:rPr>
          <w:rFonts w:hint="eastAsia"/>
          <w:sz w:val="15"/>
          <w:szCs w:val="15"/>
          <w:lang w:val="en-US" w:eastAsia="zh-CN"/>
        </w:rPr>
        <w:t>冀ABA067</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