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刘进会</w:t>
      </w:r>
      <w:r>
        <w:rPr>
          <w:rFonts w:hint="eastAsia"/>
          <w:sz w:val="15"/>
          <w:szCs w:val="15"/>
          <w:highlight w:val="none"/>
        </w:rPr>
        <w:t>，</w:t>
      </w:r>
      <w:r>
        <w:rPr>
          <w:rFonts w:hint="eastAsia"/>
          <w:sz w:val="15"/>
          <w:szCs w:val="15"/>
          <w:highlight w:val="none"/>
          <w:lang w:val="en-US" w:eastAsia="zh-CN"/>
        </w:rPr>
        <w:t>130131198609103620</w:t>
      </w:r>
      <w:r>
        <w:rPr>
          <w:rFonts w:hint="eastAsia"/>
          <w:sz w:val="15"/>
          <w:szCs w:val="15"/>
        </w:rPr>
        <w:t xml:space="preserve">  </w:t>
      </w:r>
      <w:r>
        <w:rPr>
          <w:rFonts w:hint="eastAsia"/>
          <w:sz w:val="15"/>
          <w:szCs w:val="15"/>
          <w:lang w:val="en-US" w:eastAsia="zh-CN"/>
        </w:rPr>
        <w:t>冀A7789X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