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高平利</w:t>
      </w:r>
      <w:r>
        <w:rPr>
          <w:rFonts w:hint="eastAsia"/>
          <w:sz w:val="15"/>
          <w:szCs w:val="15"/>
          <w:highlight w:val="none"/>
        </w:rPr>
        <w:t>，</w:t>
      </w:r>
      <w:r>
        <w:rPr>
          <w:rFonts w:hint="eastAsia"/>
          <w:sz w:val="15"/>
          <w:szCs w:val="15"/>
          <w:highlight w:val="none"/>
          <w:lang w:val="en-US" w:eastAsia="zh-CN"/>
        </w:rPr>
        <w:t>130131198606211247</w:t>
      </w:r>
      <w:r>
        <w:rPr>
          <w:rFonts w:hint="eastAsia"/>
          <w:sz w:val="15"/>
          <w:szCs w:val="15"/>
        </w:rPr>
        <w:t xml:space="preserve">  </w:t>
      </w:r>
      <w:r>
        <w:rPr>
          <w:rFonts w:hint="eastAsia"/>
          <w:sz w:val="15"/>
          <w:szCs w:val="15"/>
          <w:lang w:val="en-US" w:eastAsia="zh-CN"/>
        </w:rPr>
        <w:t>沪A65815D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