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赵成龙</w:t>
      </w:r>
      <w:r>
        <w:rPr>
          <w:rFonts w:hint="eastAsia"/>
          <w:sz w:val="15"/>
          <w:szCs w:val="15"/>
          <w:highlight w:val="none"/>
        </w:rPr>
        <w:t>，</w:t>
      </w:r>
      <w:r>
        <w:rPr>
          <w:rFonts w:hint="eastAsia"/>
          <w:sz w:val="15"/>
          <w:szCs w:val="15"/>
          <w:highlight w:val="none"/>
          <w:lang w:val="en-US" w:eastAsia="zh-CN"/>
        </w:rPr>
        <w:t>130131198604053337</w:t>
      </w:r>
      <w:r>
        <w:rPr>
          <w:rFonts w:hint="eastAsia"/>
          <w:sz w:val="15"/>
          <w:szCs w:val="15"/>
        </w:rPr>
        <w:t xml:space="preserve">  </w:t>
      </w:r>
      <w:r>
        <w:rPr>
          <w:rFonts w:hint="eastAsia"/>
          <w:sz w:val="15"/>
          <w:szCs w:val="15"/>
          <w:lang w:val="en-US" w:eastAsia="zh-CN"/>
        </w:rPr>
        <w:t>沪A87861D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