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安立强</w:t>
      </w:r>
      <w:r>
        <w:rPr>
          <w:rFonts w:hint="eastAsia"/>
          <w:sz w:val="15"/>
          <w:szCs w:val="15"/>
          <w:highlight w:val="none"/>
        </w:rPr>
        <w:t>，</w:t>
      </w:r>
      <w:r>
        <w:rPr>
          <w:rFonts w:hint="eastAsia"/>
          <w:sz w:val="15"/>
          <w:szCs w:val="15"/>
          <w:highlight w:val="none"/>
          <w:lang w:val="en-US" w:eastAsia="zh-CN"/>
        </w:rPr>
        <w:t>130131198603153619</w:t>
      </w:r>
      <w:r>
        <w:rPr>
          <w:rFonts w:hint="eastAsia"/>
          <w:sz w:val="15"/>
          <w:szCs w:val="15"/>
        </w:rPr>
        <w:t xml:space="preserve">  </w:t>
      </w:r>
      <w:r>
        <w:rPr>
          <w:rFonts w:hint="eastAsia"/>
          <w:sz w:val="15"/>
          <w:szCs w:val="15"/>
          <w:lang w:val="en-US" w:eastAsia="zh-CN"/>
        </w:rPr>
        <w:t>冀A32855D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