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刘卫朝</w:t>
      </w:r>
      <w:r>
        <w:rPr>
          <w:rFonts w:hint="eastAsia"/>
          <w:sz w:val="15"/>
          <w:szCs w:val="15"/>
          <w:highlight w:val="none"/>
        </w:rPr>
        <w:t>，</w:t>
      </w:r>
      <w:r>
        <w:rPr>
          <w:rFonts w:hint="eastAsia"/>
          <w:sz w:val="15"/>
          <w:szCs w:val="15"/>
          <w:highlight w:val="none"/>
          <w:lang w:val="en-US" w:eastAsia="zh-CN"/>
        </w:rPr>
        <w:t>130131198603011231</w:t>
      </w:r>
      <w:r>
        <w:rPr>
          <w:rFonts w:hint="eastAsia"/>
          <w:sz w:val="15"/>
          <w:szCs w:val="15"/>
        </w:rPr>
        <w:t xml:space="preserve">  </w:t>
      </w:r>
      <w:r>
        <w:rPr>
          <w:rFonts w:hint="eastAsia"/>
          <w:sz w:val="15"/>
          <w:szCs w:val="15"/>
          <w:lang w:val="en-US" w:eastAsia="zh-CN"/>
        </w:rPr>
        <w:t>冀A44309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