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肖进凯</w:t>
      </w:r>
      <w:r>
        <w:rPr>
          <w:rFonts w:hint="eastAsia"/>
          <w:sz w:val="15"/>
          <w:szCs w:val="15"/>
          <w:highlight w:val="none"/>
        </w:rPr>
        <w:t>，</w:t>
      </w:r>
      <w:r>
        <w:rPr>
          <w:rFonts w:hint="eastAsia"/>
          <w:sz w:val="15"/>
          <w:szCs w:val="15"/>
          <w:highlight w:val="none"/>
          <w:lang w:val="en-US" w:eastAsia="zh-CN"/>
        </w:rPr>
        <w:t>130131198602140031</w:t>
      </w:r>
      <w:r>
        <w:rPr>
          <w:rFonts w:hint="eastAsia"/>
          <w:sz w:val="15"/>
          <w:szCs w:val="15"/>
        </w:rPr>
        <w:t xml:space="preserve">  </w:t>
      </w:r>
      <w:r>
        <w:rPr>
          <w:rFonts w:hint="eastAsia"/>
          <w:sz w:val="15"/>
          <w:szCs w:val="15"/>
          <w:lang w:val="en-US" w:eastAsia="zh-CN"/>
        </w:rPr>
        <w:t>冀A683AA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