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罗利丽</w:t>
      </w:r>
      <w:r>
        <w:rPr>
          <w:rFonts w:hint="eastAsia"/>
          <w:sz w:val="15"/>
          <w:szCs w:val="15"/>
          <w:highlight w:val="none"/>
        </w:rPr>
        <w:t>，</w:t>
      </w:r>
      <w:r>
        <w:rPr>
          <w:rFonts w:hint="eastAsia"/>
          <w:sz w:val="15"/>
          <w:szCs w:val="15"/>
          <w:highlight w:val="none"/>
          <w:lang w:val="en-US" w:eastAsia="zh-CN"/>
        </w:rPr>
        <w:t>130131198512122745</w:t>
      </w:r>
      <w:r>
        <w:rPr>
          <w:rFonts w:hint="eastAsia"/>
          <w:sz w:val="15"/>
          <w:szCs w:val="15"/>
        </w:rPr>
        <w:t xml:space="preserve">  </w:t>
      </w:r>
      <w:r>
        <w:rPr>
          <w:rFonts w:hint="eastAsia"/>
          <w:sz w:val="15"/>
          <w:szCs w:val="15"/>
          <w:lang w:val="en-US" w:eastAsia="zh-CN"/>
        </w:rPr>
        <w:t>冀AVW298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