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范小璞</w:t>
      </w:r>
      <w:r>
        <w:rPr>
          <w:rFonts w:hint="eastAsia"/>
          <w:sz w:val="15"/>
          <w:szCs w:val="15"/>
          <w:highlight w:val="none"/>
        </w:rPr>
        <w:t>，</w:t>
      </w:r>
      <w:r>
        <w:rPr>
          <w:rFonts w:hint="eastAsia"/>
          <w:sz w:val="15"/>
          <w:szCs w:val="15"/>
          <w:highlight w:val="none"/>
          <w:lang w:val="en-US" w:eastAsia="zh-CN"/>
        </w:rPr>
        <w:t>130131198511120094</w:t>
      </w:r>
      <w:r>
        <w:rPr>
          <w:rFonts w:hint="eastAsia"/>
          <w:sz w:val="15"/>
          <w:szCs w:val="15"/>
        </w:rPr>
        <w:t xml:space="preserve">  </w:t>
      </w:r>
      <w:r>
        <w:rPr>
          <w:rFonts w:hint="eastAsia"/>
          <w:sz w:val="15"/>
          <w:szCs w:val="15"/>
          <w:lang w:val="en-US" w:eastAsia="zh-CN"/>
        </w:rPr>
        <w:t>冀A885NX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