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李植然</w:t>
      </w:r>
      <w:r>
        <w:rPr>
          <w:rFonts w:hint="eastAsia"/>
          <w:sz w:val="15"/>
          <w:szCs w:val="15"/>
          <w:highlight w:val="none"/>
        </w:rPr>
        <w:t>，</w:t>
      </w:r>
      <w:r>
        <w:rPr>
          <w:rFonts w:hint="eastAsia"/>
          <w:sz w:val="15"/>
          <w:szCs w:val="15"/>
          <w:highlight w:val="none"/>
          <w:lang w:val="en-US" w:eastAsia="zh-CN"/>
        </w:rPr>
        <w:t>130131198511110021</w:t>
      </w:r>
      <w:r>
        <w:rPr>
          <w:rFonts w:hint="eastAsia"/>
          <w:sz w:val="15"/>
          <w:szCs w:val="15"/>
        </w:rPr>
        <w:t xml:space="preserve">  </w:t>
      </w:r>
      <w:r>
        <w:rPr>
          <w:rFonts w:hint="eastAsia"/>
          <w:sz w:val="15"/>
          <w:szCs w:val="15"/>
          <w:lang w:val="en-US" w:eastAsia="zh-CN"/>
        </w:rPr>
        <w:t>沪A70066D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