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孙平霞</w:t>
      </w:r>
      <w:r>
        <w:rPr>
          <w:rFonts w:hint="eastAsia"/>
          <w:sz w:val="15"/>
          <w:szCs w:val="15"/>
          <w:highlight w:val="none"/>
        </w:rPr>
        <w:t>，</w:t>
      </w:r>
      <w:r>
        <w:rPr>
          <w:rFonts w:hint="eastAsia"/>
          <w:sz w:val="15"/>
          <w:szCs w:val="15"/>
          <w:highlight w:val="none"/>
          <w:lang w:val="en-US" w:eastAsia="zh-CN"/>
        </w:rPr>
        <w:t>130131198511010047</w:t>
      </w:r>
      <w:r>
        <w:rPr>
          <w:rFonts w:hint="eastAsia"/>
          <w:sz w:val="15"/>
          <w:szCs w:val="15"/>
        </w:rPr>
        <w:t xml:space="preserve">  </w:t>
      </w:r>
      <w:r>
        <w:rPr>
          <w:rFonts w:hint="eastAsia"/>
          <w:sz w:val="15"/>
          <w:szCs w:val="15"/>
          <w:lang w:val="en-US" w:eastAsia="zh-CN"/>
        </w:rPr>
        <w:t>冀A79850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