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王昭</w:t>
      </w:r>
      <w:r>
        <w:rPr>
          <w:rFonts w:hint="eastAsia"/>
          <w:sz w:val="15"/>
          <w:szCs w:val="15"/>
          <w:highlight w:val="none"/>
        </w:rPr>
        <w:t>，</w:t>
      </w:r>
      <w:r>
        <w:rPr>
          <w:rFonts w:hint="eastAsia"/>
          <w:sz w:val="15"/>
          <w:szCs w:val="15"/>
          <w:highlight w:val="none"/>
          <w:lang w:val="en-US" w:eastAsia="zh-CN"/>
        </w:rPr>
        <w:t>130131198510303630</w:t>
      </w:r>
      <w:r>
        <w:rPr>
          <w:rFonts w:hint="eastAsia"/>
          <w:sz w:val="15"/>
          <w:szCs w:val="15"/>
        </w:rPr>
        <w:t xml:space="preserve">  </w:t>
      </w:r>
      <w:r>
        <w:rPr>
          <w:rFonts w:hint="eastAsia"/>
          <w:sz w:val="15"/>
          <w:szCs w:val="15"/>
          <w:lang w:val="en-US" w:eastAsia="zh-CN"/>
        </w:rPr>
        <w:t>冀AQD359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