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温红卫</w:t>
      </w:r>
      <w:r>
        <w:rPr>
          <w:rFonts w:hint="eastAsia"/>
          <w:sz w:val="15"/>
          <w:szCs w:val="15"/>
          <w:highlight w:val="none"/>
        </w:rPr>
        <w:t>，</w:t>
      </w:r>
      <w:r>
        <w:rPr>
          <w:rFonts w:hint="eastAsia"/>
          <w:sz w:val="15"/>
          <w:szCs w:val="15"/>
          <w:highlight w:val="none"/>
          <w:lang w:val="en-US" w:eastAsia="zh-CN"/>
        </w:rPr>
        <w:t>130131198510142750</w:t>
      </w:r>
      <w:r>
        <w:rPr>
          <w:rFonts w:hint="eastAsia"/>
          <w:sz w:val="15"/>
          <w:szCs w:val="15"/>
        </w:rPr>
        <w:t xml:space="preserve">  </w:t>
      </w:r>
      <w:r>
        <w:rPr>
          <w:rFonts w:hint="eastAsia"/>
          <w:sz w:val="15"/>
          <w:szCs w:val="15"/>
          <w:lang w:val="en-US" w:eastAsia="zh-CN"/>
        </w:rPr>
        <w:t>冀J20070D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