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段素刚</w:t>
      </w:r>
      <w:r>
        <w:rPr>
          <w:rFonts w:hint="eastAsia"/>
          <w:sz w:val="15"/>
          <w:szCs w:val="15"/>
          <w:highlight w:val="none"/>
        </w:rPr>
        <w:t>，</w:t>
      </w:r>
      <w:r>
        <w:rPr>
          <w:rFonts w:hint="eastAsia"/>
          <w:sz w:val="15"/>
          <w:szCs w:val="15"/>
          <w:highlight w:val="none"/>
          <w:lang w:val="en-US" w:eastAsia="zh-CN"/>
        </w:rPr>
        <w:t>130131198509251853</w:t>
      </w:r>
      <w:r>
        <w:rPr>
          <w:rFonts w:hint="eastAsia"/>
          <w:sz w:val="15"/>
          <w:szCs w:val="15"/>
        </w:rPr>
        <w:t xml:space="preserve">  </w:t>
      </w:r>
      <w:r>
        <w:rPr>
          <w:rFonts w:hint="eastAsia"/>
          <w:sz w:val="15"/>
          <w:szCs w:val="15"/>
          <w:lang w:val="en-US" w:eastAsia="zh-CN"/>
        </w:rPr>
        <w:t>冀A887AH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